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Narrow" w:hAnsi="Arial Narrow" w:cs="Arial"/>
          <w:sz w:val="28"/>
          <w:szCs w:val="28"/>
          <w:lang w:val="en-US"/>
        </w:rPr>
      </w:pPr>
      <w:r>
        <w:rPr>
          <w:rFonts w:ascii="Arial Narrow" w:hAnsi="Arial Narrow" w:cs="Arial"/>
          <w:sz w:val="28"/>
          <w:szCs w:val="28"/>
          <w:lang w:val="en-US"/>
        </w:rPr>
        <w:t>Einladung zum Institutskolloquium</w:t>
      </w:r>
    </w:p>
    <w:p>
      <w:pPr>
        <w:jc w:val="center"/>
        <w:rPr>
          <w:rFonts w:ascii="Arial Narrow" w:hAnsi="Arial Narrow" w:cs="Arial"/>
          <w:sz w:val="28"/>
          <w:szCs w:val="28"/>
          <w:lang w:val="en-US"/>
        </w:rPr>
      </w:pPr>
    </w:p>
    <w:p>
      <w:pPr>
        <w:jc w:val="center"/>
        <w:rPr>
          <w:rFonts w:ascii="Arial Narrow" w:hAnsi="Arial Narrow" w:cs="Arial"/>
          <w:b/>
          <w:sz w:val="28"/>
          <w:szCs w:val="28"/>
          <w:lang w:val="en-US"/>
        </w:rPr>
      </w:pPr>
      <w:r>
        <w:rPr>
          <w:rFonts w:ascii="Arial Narrow" w:hAnsi="Arial Narrow" w:cs="Arial"/>
          <w:b/>
          <w:sz w:val="28"/>
          <w:szCs w:val="28"/>
          <w:lang w:val="en-US"/>
        </w:rPr>
        <w:t>Mi 22. Mai 2019, 18 s. t., GFG 01-701</w:t>
      </w:r>
    </w:p>
    <w:p>
      <w:pPr>
        <w:jc w:val="center"/>
        <w:rPr>
          <w:rFonts w:ascii="Arial Narrow" w:hAnsi="Arial Narrow" w:cs="Arial"/>
          <w:sz w:val="28"/>
          <w:szCs w:val="28"/>
          <w:lang w:val="en-US"/>
        </w:rPr>
      </w:pPr>
    </w:p>
    <w:p>
      <w:pPr>
        <w:jc w:val="center"/>
        <w:rPr>
          <w:rFonts w:ascii="Arial Narrow" w:hAnsi="Arial Narrow" w:cs="Arial"/>
          <w:b/>
          <w:sz w:val="28"/>
          <w:szCs w:val="28"/>
          <w:lang w:val="es-ES"/>
        </w:rPr>
      </w:pPr>
      <w:r>
        <w:rPr>
          <w:rFonts w:ascii="Arial Narrow" w:hAnsi="Arial Narrow" w:cs="Arial"/>
          <w:b/>
          <w:sz w:val="28"/>
          <w:szCs w:val="28"/>
          <w:lang w:val="es-ES"/>
        </w:rPr>
        <w:t xml:space="preserve">Prof. Dr. Eduardo Rivera López </w:t>
      </w:r>
    </w:p>
    <w:p>
      <w:pPr>
        <w:jc w:val="center"/>
        <w:rPr>
          <w:rFonts w:ascii="Arial Narrow" w:hAnsi="Arial Narrow" w:cs="Arial"/>
          <w:sz w:val="28"/>
          <w:szCs w:val="28"/>
          <w:lang w:val="es-ES"/>
        </w:rPr>
      </w:pPr>
      <w:r>
        <w:rPr>
          <w:rFonts w:ascii="Arial Narrow" w:hAnsi="Arial Narrow" w:cs="Arial"/>
          <w:sz w:val="28"/>
          <w:szCs w:val="28"/>
          <w:lang w:val="es-ES"/>
        </w:rPr>
        <w:t>(Universidad Torcuato Di Tello, Buenos Aires/</w:t>
      </w:r>
    </w:p>
    <w:p>
      <w:pPr>
        <w:jc w:val="center"/>
        <w:rPr>
          <w:rFonts w:ascii="Arial Narrow" w:hAnsi="Arial Narrow" w:cs="Arial"/>
          <w:sz w:val="28"/>
          <w:szCs w:val="28"/>
        </w:rPr>
      </w:pPr>
      <w:r>
        <w:rPr>
          <w:rFonts w:ascii="Arial Narrow" w:hAnsi="Arial Narrow" w:cs="Arial"/>
          <w:sz w:val="28"/>
          <w:szCs w:val="28"/>
        </w:rPr>
        <w:t>derzeit: Humboldt Fellow, HU Berlin)</w:t>
      </w:r>
    </w:p>
    <w:p>
      <w:pPr>
        <w:jc w:val="center"/>
        <w:rPr>
          <w:rFonts w:ascii="Arial Narrow" w:hAnsi="Arial Narrow" w:cs="Arial"/>
          <w:sz w:val="28"/>
          <w:szCs w:val="28"/>
        </w:rPr>
      </w:pPr>
    </w:p>
    <w:p>
      <w:pPr>
        <w:jc w:val="center"/>
        <w:rPr>
          <w:rFonts w:ascii="Arial Narrow" w:hAnsi="Arial Narrow" w:cs="Arial"/>
          <w:sz w:val="28"/>
          <w:szCs w:val="28"/>
        </w:rPr>
      </w:pPr>
    </w:p>
    <w:p>
      <w:pPr>
        <w:jc w:val="center"/>
        <w:rPr>
          <w:rFonts w:ascii="Arial Narrow" w:hAnsi="Arial Narrow" w:cs="Arial"/>
          <w:b/>
          <w:sz w:val="28"/>
          <w:szCs w:val="28"/>
          <w:lang w:val="en-US"/>
        </w:rPr>
      </w:pPr>
      <w:r>
        <w:rPr>
          <w:rFonts w:ascii="Arial Narrow" w:hAnsi="Arial Narrow" w:cs="Arial"/>
          <w:b/>
          <w:sz w:val="28"/>
          <w:szCs w:val="28"/>
          <w:lang w:val="en-US"/>
        </w:rPr>
        <w:t>Mutually Unjust War</w:t>
      </w:r>
    </w:p>
    <w:p>
      <w:pPr>
        <w:jc w:val="center"/>
        <w:rPr>
          <w:rFonts w:ascii="Arial Narrow" w:hAnsi="Arial Narrow" w:cs="Arial"/>
          <w:sz w:val="28"/>
          <w:szCs w:val="28"/>
          <w:lang w:val="en-US"/>
        </w:rPr>
      </w:pPr>
    </w:p>
    <w:p>
      <w:pPr>
        <w:jc w:val="both"/>
        <w:rPr>
          <w:rFonts w:ascii="Arial Narrow" w:hAnsi="Arial Narrow" w:cs="Arial"/>
          <w:lang w:val="en-US"/>
        </w:rPr>
      </w:pPr>
    </w:p>
    <w:p>
      <w:pPr>
        <w:jc w:val="both"/>
        <w:rPr>
          <w:rFonts w:ascii="Arial Narrow" w:hAnsi="Arial Narrow" w:cs="Arial"/>
          <w:b/>
          <w:lang w:val="en-US"/>
        </w:rPr>
      </w:pPr>
      <w:r>
        <w:rPr>
          <w:rFonts w:ascii="Arial Narrow" w:hAnsi="Arial Narrow" w:cs="Arial"/>
          <w:b/>
          <w:lang w:val="en-US"/>
        </w:rPr>
        <w:t>Abstract</w:t>
      </w:r>
    </w:p>
    <w:p>
      <w:pPr>
        <w:jc w:val="both"/>
        <w:rPr>
          <w:rFonts w:ascii="Arial Narrow" w:hAnsi="Arial Narrow" w:cs="Arial"/>
          <w:lang w:val="en-US"/>
        </w:rPr>
      </w:pPr>
      <w:r>
        <w:rPr>
          <w:rFonts w:ascii="Arial Narrow" w:hAnsi="Arial Narrow" w:cs="Arial"/>
          <w:lang w:val="en-US"/>
        </w:rPr>
        <w:t xml:space="preserve">According to contemporary just war theory waging a just war is a difficult matter -it requires that a belligerent fulfill a number of stringent conditions such as just cause, proportionality, necessity, reasonable prospect of success, among others. Failing to fulfill any of them would render a war </w:t>
      </w:r>
      <w:r>
        <w:rPr>
          <w:rFonts w:ascii="Arial Narrow" w:hAnsi="Arial Narrow" w:cs="Arial"/>
          <w:i/>
          <w:iCs/>
          <w:lang w:val="en-US"/>
        </w:rPr>
        <w:t>un</w:t>
      </w:r>
      <w:r>
        <w:rPr>
          <w:rFonts w:ascii="Arial Narrow" w:hAnsi="Arial Narrow" w:cs="Arial"/>
          <w:lang w:val="en-US"/>
        </w:rPr>
        <w:t xml:space="preserve">just. It is therefore surprising that contemporary just war theorists always assume a picture in which one belligerent fights a just war, while the other fights an unjust war. This asymmetry is of the utmost importance for the so-called revisionist position in just war theory. There has been, by contrast, no philosophical work on wars that are unjust from </w:t>
      </w:r>
      <w:r>
        <w:rPr>
          <w:rFonts w:ascii="Arial Narrow" w:hAnsi="Arial Narrow" w:cs="Arial"/>
          <w:i/>
          <w:iCs/>
          <w:lang w:val="en-US"/>
        </w:rPr>
        <w:t>both</w:t>
      </w:r>
      <w:r>
        <w:rPr>
          <w:rFonts w:ascii="Arial Narrow" w:hAnsi="Arial Narrow" w:cs="Arial"/>
          <w:lang w:val="en-US"/>
        </w:rPr>
        <w:t xml:space="preserve"> sides. The fact that mutually unjust wars exist seems fairly obvious as a matter of fact. However, we argue that there is a deep conceptual puzzle at the core of this type of situation that has remained entirely unnoticed in the relevant literature. This </w:t>
      </w:r>
      <w:r>
        <w:rPr>
          <w:rFonts w:ascii="Arial Narrow" w:hAnsi="Arial Narrow" w:cs="Arial"/>
          <w:lang w:val="en-US"/>
        </w:rPr>
        <w:t>paper</w:t>
      </w:r>
      <w:r>
        <w:rPr>
          <w:rFonts w:ascii="Arial Narrow" w:hAnsi="Arial Narrow" w:cs="Arial"/>
          <w:lang w:val="en-US"/>
        </w:rPr>
        <w:t xml:space="preserve"> sorts out this puzzle and advances the view that there are at least three types of mutually unjust wars. It also argues that wars can be mutually unjust to different degrees, and that, under certain strict circumstances, they can even be mutually just. Accordingly, we offer a picture which is much more complex and nuanced than the standard case of just/unjust belligerents adopted by most revisionists. These findings indicate an important gap in the literature, one that suggests that we need to re-assess the way in which ad bellum considerations impact on in bello rules. Taking this agenda seriously can provide for a richer, subtler framework to assess morally permissible behavior in war and bring contemporary just war theory in a more fruitful dialogue with current debates on war in political science, international relations and international law.</w:t>
      </w:r>
    </w:p>
    <w:p>
      <w:pPr>
        <w:jc w:val="both"/>
        <w:rPr>
          <w:rFonts w:ascii="Arial Narrow" w:hAnsi="Arial Narrow" w:cs="Arial"/>
        </w:rPr>
      </w:pPr>
      <w:r>
        <w:rPr>
          <w:rFonts w:ascii="Arial Narrow" w:hAnsi="Arial Narrow" w:cs="Arial"/>
        </w:rPr>
        <w:t xml:space="preserve">(Der Vortrag basiert auf einem Aufsatz, der zusammen mit </w:t>
      </w:r>
      <w:r>
        <w:rPr>
          <w:rFonts w:ascii="Arial Narrow" w:hAnsi="Arial Narrow" w:cs="Arial"/>
        </w:rPr>
        <w:t>Alejandro Chehtman</w:t>
      </w:r>
      <w:r>
        <w:rPr>
          <w:rFonts w:ascii="Arial Narrow" w:hAnsi="Arial Narrow" w:cs="Arial"/>
        </w:rPr>
        <w:t xml:space="preserve"> verfasst wurde.)</w:t>
      </w:r>
    </w:p>
    <w:p>
      <w:pPr>
        <w:jc w:val="both"/>
        <w:rPr>
          <w:rFonts w:ascii="Arial Narrow" w:hAnsi="Arial Narrow" w:cs="Arial"/>
        </w:rPr>
      </w:pPr>
    </w:p>
    <w:p>
      <w:pPr>
        <w:rPr>
          <w:rFonts w:ascii="Arial Narrow" w:hAnsi="Arial Narrow" w:cs="Arial"/>
        </w:rPr>
      </w:pPr>
      <w:r>
        <w:rPr>
          <w:rFonts w:ascii="Arial Narrow" w:hAnsi="Arial Narrow" w:cs="Arial"/>
          <w:b/>
        </w:rPr>
        <w:t>Eduardo Rivera López</w:t>
      </w:r>
      <w:r>
        <w:rPr>
          <w:rFonts w:ascii="Arial Narrow" w:hAnsi="Arial Narrow" w:cs="Arial"/>
        </w:rPr>
        <w:t xml:space="preserve"> ist Professor für Politische und Praktische Philosophie an der Rechtswissenschaftlichen Fakultät der Universität Torcuato Di Tella in Buenos Aires. </w:t>
      </w:r>
    </w:p>
    <w:p>
      <w:pPr>
        <w:rPr>
          <w:rFonts w:ascii="Arial Narrow" w:hAnsi="Arial Narrow" w:cs="Arial"/>
        </w:rPr>
      </w:pPr>
      <w:r>
        <w:rPr>
          <w:rFonts w:ascii="Arial Narrow" w:hAnsi="Arial Narrow" w:cs="Arial"/>
        </w:rPr>
        <w:t>1994 Promotion in Politikwissenschaft an der JGU (Dissertation zu „Moralische Voraussetzungen des Liberalismus“: Preis der JGU 1994)</w:t>
      </w:r>
    </w:p>
    <w:p>
      <w:pPr>
        <w:rPr>
          <w:rFonts w:ascii="Arial Narrow" w:hAnsi="Arial Narrow" w:cs="Arial"/>
        </w:rPr>
      </w:pPr>
      <w:r>
        <w:rPr>
          <w:rFonts w:ascii="Arial Narrow" w:hAnsi="Arial Narrow" w:cs="Arial"/>
        </w:rPr>
        <w:t>1998/99 Alexander-von-Humboldt-Fellow (Duisburg)</w:t>
      </w:r>
    </w:p>
    <w:p>
      <w:pPr>
        <w:rPr>
          <w:rFonts w:ascii="Arial Narrow" w:hAnsi="Arial Narrow" w:cs="Arial"/>
        </w:rPr>
      </w:pPr>
      <w:r>
        <w:rPr>
          <w:rFonts w:ascii="Arial Narrow" w:hAnsi="Arial Narrow" w:cs="Arial"/>
        </w:rPr>
        <w:t>2002/03 Guggenheim Fellow (U Arizon, NYU)</w:t>
      </w:r>
    </w:p>
    <w:p>
      <w:pPr>
        <w:rPr>
          <w:rFonts w:ascii="Arial Narrow" w:hAnsi="Arial Narrow" w:cs="Arial"/>
          <w:lang w:val="en-US"/>
        </w:rPr>
      </w:pPr>
      <w:r>
        <w:rPr>
          <w:rFonts w:ascii="Arial Narrow" w:hAnsi="Arial Narrow" w:cs="Arial"/>
          <w:lang w:val="en-US"/>
        </w:rPr>
        <w:t>2011 H. L. A. Hart Fellow (Oxford)</w:t>
      </w:r>
    </w:p>
    <w:p>
      <w:pPr>
        <w:rPr>
          <w:rFonts w:ascii="Arial Narrow" w:hAnsi="Arial Narrow" w:cs="Arial"/>
        </w:rPr>
      </w:pPr>
      <w:r>
        <w:rPr>
          <w:rFonts w:ascii="Arial Narrow" w:hAnsi="Arial Narrow" w:cs="Arial"/>
        </w:rPr>
        <w:t>2012, 2019 Alexander-</w:t>
      </w:r>
      <w:bookmarkStart w:id="0" w:name="_GoBack"/>
      <w:bookmarkEnd w:id="0"/>
      <w:r>
        <w:rPr>
          <w:rFonts w:ascii="Arial Narrow" w:hAnsi="Arial Narrow" w:cs="Arial"/>
        </w:rPr>
        <w:t>von-Humboldt-Fellow (HU Berlin)</w:t>
      </w:r>
    </w:p>
    <w:p>
      <w:pPr>
        <w:rPr>
          <w:rFonts w:ascii="Arial Narrow" w:hAnsi="Arial Narrow" w:cs="Arial"/>
        </w:rPr>
      </w:pPr>
      <w:r>
        <w:rPr>
          <w:rFonts w:ascii="Arial Narrow" w:hAnsi="Arial Narrow" w:cs="Arial"/>
        </w:rPr>
        <w:t xml:space="preserve">Zahlreiche Publikationen in spanischer, englischer und deutscher Sprache zu einer großen Bandbreite von Themen der praktischen, politischen und Bioethik, darunter z. B.: „Ethics and Political Philosophy“ im </w:t>
      </w:r>
      <w:r>
        <w:rPr>
          <w:rFonts w:ascii="Arial Narrow" w:hAnsi="Arial Narrow" w:cs="Arial"/>
          <w:i/>
        </w:rPr>
        <w:t>Companion to Latin American Philosophy</w:t>
      </w:r>
      <w:r>
        <w:rPr>
          <w:rFonts w:ascii="Arial Narrow" w:hAnsi="Arial Narrow" w:cs="Arial"/>
        </w:rPr>
        <w:t xml:space="preserve"> (Wiley-Blackwell 2010); „Is it morally wrong to defend unjust causes as a lawyer?“, </w:t>
      </w:r>
      <w:r>
        <w:rPr>
          <w:rFonts w:ascii="Arial Narrow" w:hAnsi="Arial Narrow" w:cs="Arial"/>
          <w:i/>
        </w:rPr>
        <w:t>Journal of Applied Philosophy</w:t>
      </w:r>
      <w:r>
        <w:rPr>
          <w:rFonts w:ascii="Arial Narrow" w:hAnsi="Arial Narrow" w:cs="Arial"/>
        </w:rPr>
        <w:t xml:space="preserve"> (2015); „Is medically assisted suicide a special obligation“, </w:t>
      </w:r>
      <w:r>
        <w:rPr>
          <w:rFonts w:ascii="Arial Narrow" w:hAnsi="Arial Narrow" w:cs="Arial"/>
          <w:i/>
        </w:rPr>
        <w:t>Journal of Medical Ethics</w:t>
      </w:r>
      <w:r>
        <w:rPr>
          <w:rFonts w:ascii="Arial Narrow" w:hAnsi="Arial Narrow" w:cs="Arial"/>
        </w:rPr>
        <w:t xml:space="preserve"> (2017).</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88C4-1186-44EC-A70D-4E28E01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Zimmerling, Ruth</dc:creator>
  <cp:keywords/>
  <dc:description/>
  <cp:lastModifiedBy>Zimmerling, Ruth</cp:lastModifiedBy>
  <cp:revision>3</cp:revision>
  <dcterms:created xsi:type="dcterms:W3CDTF">2019-05-08T16:52:00Z</dcterms:created>
  <dcterms:modified xsi:type="dcterms:W3CDTF">2019-05-08T17:32:00Z</dcterms:modified>
</cp:coreProperties>
</file>